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5AA3" w14:textId="77777777" w:rsidR="00EF5239" w:rsidRDefault="00EF5239" w:rsidP="00EF5239">
      <w:pPr>
        <w:ind w:left="720"/>
        <w:jc w:val="center"/>
        <w:rPr>
          <w:b/>
          <w:bCs/>
        </w:rPr>
      </w:pPr>
    </w:p>
    <w:p w14:paraId="2A770432" w14:textId="7E3ABA27" w:rsidR="00EF5239" w:rsidRDefault="00EF5239" w:rsidP="00EF5239">
      <w:pPr>
        <w:ind w:left="720"/>
        <w:jc w:val="center"/>
        <w:rPr>
          <w:b/>
          <w:bCs/>
        </w:rPr>
      </w:pPr>
      <w:r>
        <w:rPr>
          <w:b/>
          <w:bCs/>
        </w:rPr>
        <w:t>MODEL LOCAL GOVERNMENT RESOLUTION</w:t>
      </w:r>
    </w:p>
    <w:p w14:paraId="32E8BBF8" w14:textId="77777777" w:rsidR="00EF5239" w:rsidRDefault="00EF5239" w:rsidP="00EF5239">
      <w:pPr>
        <w:ind w:left="720"/>
        <w:jc w:val="center"/>
        <w:rPr>
          <w:b/>
          <w:bCs/>
        </w:rPr>
      </w:pPr>
      <w:r>
        <w:rPr>
          <w:b/>
          <w:bCs/>
        </w:rPr>
        <w:t>REGARDING THE USE OF AMERICAN RESCUE PLAN (ARP) FUNDS</w:t>
      </w:r>
    </w:p>
    <w:p w14:paraId="257FEFB6" w14:textId="77777777" w:rsidR="00EF5239" w:rsidRDefault="00EF5239" w:rsidP="00EF5239">
      <w:pPr>
        <w:ind w:left="720"/>
        <w:rPr>
          <w:b/>
          <w:bCs/>
        </w:rPr>
      </w:pPr>
    </w:p>
    <w:p w14:paraId="381BF20F" w14:textId="77777777" w:rsidR="00EF5239" w:rsidRDefault="00EF5239" w:rsidP="00EF5239">
      <w:pPr>
        <w:ind w:left="720"/>
        <w:rPr>
          <w:b/>
          <w:bCs/>
        </w:rPr>
      </w:pPr>
      <w:r w:rsidRPr="002025FA">
        <w:rPr>
          <w:b/>
          <w:bCs/>
        </w:rPr>
        <w:t>Committing the [City/Town/</w:t>
      </w:r>
      <w:r>
        <w:rPr>
          <w:b/>
          <w:bCs/>
        </w:rPr>
        <w:t>County/</w:t>
      </w:r>
      <w:r w:rsidRPr="002025FA">
        <w:rPr>
          <w:b/>
          <w:bCs/>
        </w:rPr>
        <w:t xml:space="preserve">Parish of </w:t>
      </w:r>
      <w:r w:rsidRPr="002025FA">
        <w:rPr>
          <w:b/>
          <w:bCs/>
          <w:u w:val="single"/>
        </w:rPr>
        <w:tab/>
      </w:r>
      <w:r w:rsidRPr="002025FA">
        <w:rPr>
          <w:b/>
          <w:bCs/>
          <w:u w:val="single"/>
        </w:rPr>
        <w:tab/>
      </w:r>
      <w:r w:rsidRPr="002025FA">
        <w:rPr>
          <w:b/>
          <w:bCs/>
          <w:u w:val="single"/>
        </w:rPr>
        <w:tab/>
        <w:t>,</w:t>
      </w:r>
      <w:r w:rsidRPr="002025FA">
        <w:rPr>
          <w:b/>
          <w:bCs/>
        </w:rPr>
        <w:t xml:space="preserve"> </w:t>
      </w:r>
      <w:r w:rsidRPr="002025FA">
        <w:rPr>
          <w:b/>
          <w:bCs/>
          <w:u w:val="single"/>
        </w:rPr>
        <w:tab/>
      </w:r>
      <w:r w:rsidRPr="002025FA">
        <w:rPr>
          <w:b/>
          <w:bCs/>
          <w:u w:val="single"/>
        </w:rPr>
        <w:tab/>
      </w:r>
      <w:r w:rsidRPr="002025FA">
        <w:rPr>
          <w:b/>
          <w:bCs/>
          <w:u w:val="single"/>
        </w:rPr>
        <w:tab/>
      </w:r>
      <w:r w:rsidRPr="002025FA">
        <w:rPr>
          <w:b/>
          <w:bCs/>
        </w:rPr>
        <w:t xml:space="preserve">] to the strategic, equitable, transparent, and responsible use of American Rescue </w:t>
      </w:r>
      <w:r>
        <w:rPr>
          <w:b/>
          <w:bCs/>
        </w:rPr>
        <w:t xml:space="preserve">Plan </w:t>
      </w:r>
      <w:r w:rsidRPr="002025FA">
        <w:rPr>
          <w:b/>
          <w:bCs/>
        </w:rPr>
        <w:t>funds.</w:t>
      </w:r>
    </w:p>
    <w:p w14:paraId="68A3398C" w14:textId="77777777" w:rsidR="00EF5239" w:rsidRDefault="00EF5239" w:rsidP="00EF5239">
      <w:pPr>
        <w:rPr>
          <w:b/>
          <w:bCs/>
        </w:rPr>
      </w:pPr>
    </w:p>
    <w:p w14:paraId="58E39FF3" w14:textId="77777777" w:rsidR="00EF5239" w:rsidRDefault="00EF5239" w:rsidP="00EF5239">
      <w:pPr>
        <w:ind w:left="720"/>
      </w:pPr>
      <w:proofErr w:type="gramStart"/>
      <w:r>
        <w:rPr>
          <w:b/>
          <w:bCs/>
        </w:rPr>
        <w:t>WHEREAS</w:t>
      </w:r>
      <w:r>
        <w:t>,</w:t>
      </w:r>
      <w:proofErr w:type="gramEnd"/>
      <w:r>
        <w:t xml:space="preserve"> the COVID-19 global pandemic caused unprecedented health and economic impacts to communities worldwide and across the United States;</w:t>
      </w:r>
    </w:p>
    <w:p w14:paraId="2F7C234A" w14:textId="77777777" w:rsidR="00EF5239" w:rsidRDefault="00EF5239" w:rsidP="00EF5239">
      <w:pPr>
        <w:ind w:left="720"/>
      </w:pPr>
    </w:p>
    <w:p w14:paraId="4862AAF2" w14:textId="77777777" w:rsidR="00EF5239" w:rsidRDefault="00EF5239" w:rsidP="00EF5239">
      <w:pPr>
        <w:ind w:left="720"/>
      </w:pPr>
      <w:r>
        <w:rPr>
          <w:b/>
          <w:bCs/>
        </w:rPr>
        <w:t>WHEREAS</w:t>
      </w:r>
      <w:r>
        <w:t xml:space="preserve">, the pandemic has resulted in a tragic loss of life, created long-term health impacts for many survivors, isolated our seniors, wreaked havoc on the mental health of millions, overburdened health care systems, and exacerbated many of the underlying vulnerabilities in our </w:t>
      </w:r>
      <w:proofErr w:type="gramStart"/>
      <w:r>
        <w:t>communities;</w:t>
      </w:r>
      <w:proofErr w:type="gramEnd"/>
    </w:p>
    <w:p w14:paraId="0C44D052" w14:textId="77777777" w:rsidR="00EF5239" w:rsidRDefault="00EF5239" w:rsidP="00EF5239">
      <w:pPr>
        <w:ind w:left="720"/>
        <w:rPr>
          <w:b/>
        </w:rPr>
      </w:pPr>
    </w:p>
    <w:p w14:paraId="46F89B6D" w14:textId="77777777" w:rsidR="00EF5239" w:rsidRDefault="00EF5239" w:rsidP="00EF5239">
      <w:pPr>
        <w:ind w:left="720"/>
      </w:pPr>
      <w:proofErr w:type="gramStart"/>
      <w:r w:rsidRPr="00191402">
        <w:rPr>
          <w:b/>
        </w:rPr>
        <w:t>WHEREAS</w:t>
      </w:r>
      <w:r>
        <w:rPr>
          <w:b/>
        </w:rPr>
        <w:t>,</w:t>
      </w:r>
      <w:proofErr w:type="gramEnd"/>
      <w:r>
        <w:t xml:space="preserve"> the economic impacts triggered by the pandemic caused millions of jobs to be lost, thousands of small businesses to close, and in many instances resulted in those least able to afford missing work becoming the most exposed to infection;</w:t>
      </w:r>
    </w:p>
    <w:p w14:paraId="4A6F82EF" w14:textId="77777777" w:rsidR="00EF5239" w:rsidRDefault="00EF5239" w:rsidP="00EF5239">
      <w:pPr>
        <w:ind w:left="720"/>
        <w:rPr>
          <w:b/>
          <w:bCs/>
        </w:rPr>
      </w:pPr>
    </w:p>
    <w:p w14:paraId="32FED89A" w14:textId="77777777" w:rsidR="00EF5239" w:rsidRDefault="00EF5239" w:rsidP="00EF5239">
      <w:pPr>
        <w:ind w:left="720"/>
      </w:pPr>
      <w:proofErr w:type="gramStart"/>
      <w:r>
        <w:rPr>
          <w:b/>
          <w:bCs/>
        </w:rPr>
        <w:t>WHEREAS</w:t>
      </w:r>
      <w:r>
        <w:t>,</w:t>
      </w:r>
      <w:proofErr w:type="gramEnd"/>
      <w:r>
        <w:t xml:space="preserve"> these severe and extended economic impacts have led to increased insecurity for local families who struggle to meet household expenses for housing, food, and basic utilities;</w:t>
      </w:r>
    </w:p>
    <w:p w14:paraId="75C85440" w14:textId="77777777" w:rsidR="00EF5239" w:rsidRDefault="00EF5239" w:rsidP="00EF5239">
      <w:pPr>
        <w:ind w:left="720"/>
      </w:pPr>
    </w:p>
    <w:p w14:paraId="2154FFF5" w14:textId="77777777" w:rsidR="00EF5239" w:rsidRDefault="00EF5239" w:rsidP="00EF5239">
      <w:pPr>
        <w:ind w:left="720"/>
      </w:pPr>
      <w:proofErr w:type="gramStart"/>
      <w:r>
        <w:rPr>
          <w:b/>
          <w:bCs/>
        </w:rPr>
        <w:t>WHEREAS</w:t>
      </w:r>
      <w:r>
        <w:t>,</w:t>
      </w:r>
      <w:proofErr w:type="gramEnd"/>
      <w:r>
        <w:t xml:space="preserve"> the negative health outcomes from the COVID-19 virus have been found to disproportionately affect communities of color;</w:t>
      </w:r>
    </w:p>
    <w:p w14:paraId="54EC1246" w14:textId="77777777" w:rsidR="00EF5239" w:rsidRDefault="00EF5239" w:rsidP="00EF5239">
      <w:pPr>
        <w:ind w:left="720"/>
      </w:pPr>
    </w:p>
    <w:p w14:paraId="7F85F113" w14:textId="77777777" w:rsidR="00EF5239" w:rsidRDefault="00EF5239" w:rsidP="00EF5239">
      <w:pPr>
        <w:ind w:left="720"/>
      </w:pPr>
      <w:proofErr w:type="gramStart"/>
      <w:r>
        <w:rPr>
          <w:b/>
          <w:bCs/>
        </w:rPr>
        <w:t>WHEREAS</w:t>
      </w:r>
      <w:r>
        <w:t>,</w:t>
      </w:r>
      <w:proofErr w:type="gramEnd"/>
      <w:r>
        <w:t xml:space="preserve"> the loss of jobs and income due to the pandemic’s economic downturn have been borne to a greater degree by our most vulnerable lower income households;</w:t>
      </w:r>
    </w:p>
    <w:p w14:paraId="507E6A73" w14:textId="77777777" w:rsidR="00EF5239" w:rsidRDefault="00EF5239" w:rsidP="00EF5239">
      <w:pPr>
        <w:ind w:left="720"/>
      </w:pPr>
    </w:p>
    <w:p w14:paraId="1CC6A40F" w14:textId="77777777" w:rsidR="00EF5239" w:rsidRDefault="00EF5239" w:rsidP="00EF5239">
      <w:pPr>
        <w:ind w:left="720"/>
      </w:pPr>
      <w:proofErr w:type="gramStart"/>
      <w:r>
        <w:rPr>
          <w:b/>
          <w:bCs/>
        </w:rPr>
        <w:t>WHEREAS</w:t>
      </w:r>
      <w:r>
        <w:t>,</w:t>
      </w:r>
      <w:proofErr w:type="gramEnd"/>
      <w:r>
        <w:t xml:space="preserve"> the measures taken to minimize the spread of the COVID-19 virus also caused significant disruption to the nature and form of our community’s civic discourse, through limitations on public gatherings and forums;</w:t>
      </w:r>
    </w:p>
    <w:p w14:paraId="0B90849B" w14:textId="77777777" w:rsidR="00EF5239" w:rsidRDefault="00EF5239" w:rsidP="00EF5239">
      <w:pPr>
        <w:ind w:left="720"/>
      </w:pPr>
    </w:p>
    <w:p w14:paraId="423BE7C7" w14:textId="77777777" w:rsidR="00EF5239" w:rsidRDefault="00EF5239" w:rsidP="00EF5239">
      <w:pPr>
        <w:ind w:left="720"/>
      </w:pPr>
      <w:proofErr w:type="gramStart"/>
      <w:r>
        <w:rPr>
          <w:b/>
          <w:bCs/>
        </w:rPr>
        <w:t>WHEREAS</w:t>
      </w:r>
      <w:r>
        <w:t>,</w:t>
      </w:r>
      <w:proofErr w:type="gramEnd"/>
      <w:r>
        <w:t xml:space="preserve"> the American Rescue Plan (ARP) Act was signed into law on March 11, 2021 in which the federal government has taken the heretofore unprecedented action to appropriate $130,000,000,000 in direct funding to local governments to aid them in combatting the challenges created by the pandemic;</w:t>
      </w:r>
    </w:p>
    <w:p w14:paraId="0F37A359" w14:textId="77777777" w:rsidR="00EF5239" w:rsidRDefault="00EF5239" w:rsidP="00EF5239">
      <w:pPr>
        <w:ind w:left="720"/>
      </w:pPr>
    </w:p>
    <w:p w14:paraId="64824FF1" w14:textId="77777777" w:rsidR="00EF5239" w:rsidRDefault="00EF5239" w:rsidP="00EF5239">
      <w:pPr>
        <w:ind w:left="720"/>
      </w:pPr>
      <w:proofErr w:type="gramStart"/>
      <w:r>
        <w:rPr>
          <w:b/>
          <w:bCs/>
        </w:rPr>
        <w:t>WHEREAS</w:t>
      </w:r>
      <w:r>
        <w:t>,</w:t>
      </w:r>
      <w:proofErr w:type="gramEnd"/>
      <w:r>
        <w:t xml:space="preserve"> the funds provided by the ARP may be used for a variety of purposes related to rebuilding and strengthening our communities so long as the funds are spent by December 31, 2024;</w:t>
      </w:r>
    </w:p>
    <w:p w14:paraId="7641BCBF" w14:textId="77777777" w:rsidR="00EF5239" w:rsidRDefault="00EF5239" w:rsidP="00EF5239">
      <w:pPr>
        <w:ind w:left="720"/>
      </w:pPr>
    </w:p>
    <w:p w14:paraId="371BEB61" w14:textId="77777777" w:rsidR="00EF5239" w:rsidRDefault="00EF5239" w:rsidP="00EF5239">
      <w:pPr>
        <w:ind w:left="720"/>
        <w:rPr>
          <w:b/>
          <w:bCs/>
        </w:rPr>
      </w:pPr>
    </w:p>
    <w:p w14:paraId="52F2D050" w14:textId="22692778" w:rsidR="00EF5239" w:rsidRDefault="00EF5239" w:rsidP="00EF5239">
      <w:pPr>
        <w:ind w:left="720"/>
      </w:pPr>
      <w:proofErr w:type="gramStart"/>
      <w:r>
        <w:rPr>
          <w:b/>
          <w:bCs/>
        </w:rPr>
        <w:t>WHEREAS</w:t>
      </w:r>
      <w:r>
        <w:t>,</w:t>
      </w:r>
      <w:proofErr w:type="gramEnd"/>
      <w:r>
        <w:t xml:space="preserve"> these ARP funds will provide a significant one-time, supplemental resource for our local government to use for the benefit of our community;</w:t>
      </w:r>
    </w:p>
    <w:p w14:paraId="482E80AD" w14:textId="77777777" w:rsidR="00EF5239" w:rsidRDefault="00EF5239" w:rsidP="00EF5239">
      <w:pPr>
        <w:ind w:left="720"/>
      </w:pPr>
    </w:p>
    <w:p w14:paraId="3B0B511A" w14:textId="77777777" w:rsidR="00EF5239" w:rsidRDefault="00EF5239" w:rsidP="00EF5239">
      <w:pPr>
        <w:ind w:left="720"/>
      </w:pPr>
      <w:proofErr w:type="gramStart"/>
      <w:r>
        <w:rPr>
          <w:b/>
          <w:bCs/>
        </w:rPr>
        <w:t>WHEREAS</w:t>
      </w:r>
      <w:r>
        <w:t>,</w:t>
      </w:r>
      <w:proofErr w:type="gramEnd"/>
      <w:r>
        <w:t xml:space="preserve"> these ARP funds can support strategic initiatives that encourage recovery while also accelerating progress towards long-range community goals;</w:t>
      </w:r>
    </w:p>
    <w:p w14:paraId="3C332DA2" w14:textId="77777777" w:rsidR="00EF5239" w:rsidRDefault="00EF5239" w:rsidP="00EF5239">
      <w:pPr>
        <w:ind w:left="720"/>
      </w:pPr>
    </w:p>
    <w:p w14:paraId="126A7BDE" w14:textId="77777777" w:rsidR="00EF5239" w:rsidRDefault="00EF5239" w:rsidP="00EF5239">
      <w:pPr>
        <w:ind w:left="720"/>
      </w:pPr>
      <w:proofErr w:type="gramStart"/>
      <w:r>
        <w:rPr>
          <w:b/>
          <w:bCs/>
        </w:rPr>
        <w:t>WHEREAS</w:t>
      </w:r>
      <w:r>
        <w:t>,</w:t>
      </w:r>
      <w:proofErr w:type="gramEnd"/>
      <w:r>
        <w:t xml:space="preserve"> this [City/Town/County/Parish] is committed to using the opportunity created by the ARP funds to uplift, support, and improve the quality of life of all members of this community;</w:t>
      </w:r>
    </w:p>
    <w:p w14:paraId="1A1EA93A" w14:textId="77777777" w:rsidR="00EF5239" w:rsidRDefault="00EF5239" w:rsidP="00EF5239">
      <w:pPr>
        <w:ind w:left="720"/>
      </w:pPr>
    </w:p>
    <w:p w14:paraId="254EC4AD" w14:textId="77777777" w:rsidR="00EF5239" w:rsidRPr="00B9387D" w:rsidRDefault="00EF5239" w:rsidP="00EF5239">
      <w:pPr>
        <w:ind w:left="720"/>
        <w:rPr>
          <w:b/>
          <w:bCs/>
        </w:rPr>
      </w:pPr>
      <w:r w:rsidRPr="00B9387D">
        <w:rPr>
          <w:b/>
          <w:bCs/>
        </w:rPr>
        <w:t>NOW, THEREFORE, BE IT RESOLVED [BY THE MAYOR AND CITY COUNCIL/COUNTY COMMISSION OF CITY/TOWN/COUNTY/PARISH]:</w:t>
      </w:r>
    </w:p>
    <w:p w14:paraId="59DBF9F0" w14:textId="77777777" w:rsidR="00EF5239" w:rsidRPr="00D44598" w:rsidRDefault="00EF5239" w:rsidP="00EF5239">
      <w:pPr>
        <w:ind w:left="720"/>
      </w:pPr>
    </w:p>
    <w:p w14:paraId="671044E7" w14:textId="77777777" w:rsidR="00EF5239" w:rsidRDefault="00EF5239" w:rsidP="00EF5239">
      <w:pPr>
        <w:pStyle w:val="ListParagraph"/>
        <w:numPr>
          <w:ilvl w:val="0"/>
          <w:numId w:val="1"/>
        </w:numPr>
        <w:ind w:left="1440"/>
      </w:pPr>
      <w:r>
        <w:t xml:space="preserve">The [city/town/county/parish] declares that in utilizing ARP funds, priority shall be given to the following: supporting economic recovery for all with special emphasis to aiding those on the lower end of the wage scale, improving public health and safety, supporting local businesses and workforce development, increasing access </w:t>
      </w:r>
      <w:proofErr w:type="gramStart"/>
      <w:r>
        <w:t>to</w:t>
      </w:r>
      <w:proofErr w:type="gramEnd"/>
      <w:r>
        <w:t xml:space="preserve"> and improving the quality of public education, improving equity outcomes, and supporting the housing needs in our community.</w:t>
      </w:r>
    </w:p>
    <w:p w14:paraId="76302E27" w14:textId="77777777" w:rsidR="00EF5239" w:rsidRDefault="00EF5239" w:rsidP="00EF5239">
      <w:pPr>
        <w:pStyle w:val="ListParagraph"/>
        <w:numPr>
          <w:ilvl w:val="0"/>
          <w:numId w:val="1"/>
        </w:numPr>
        <w:ind w:left="1440"/>
      </w:pPr>
      <w:r>
        <w:t>The [city/town/county/parish] will seek community input on the use of ARP funds, and will incorporate community perspectives in decision-making related to ARP resources. Recognizing that true inclusivity often requires making an extra effort to obtain input from those in disadvantaged groups, a variety of methods will be used to engage with the citizenry.</w:t>
      </w:r>
    </w:p>
    <w:p w14:paraId="31677F03" w14:textId="77777777" w:rsidR="00EF5239" w:rsidRDefault="00EF5239" w:rsidP="00EF5239">
      <w:pPr>
        <w:pStyle w:val="ListParagraph"/>
        <w:numPr>
          <w:ilvl w:val="0"/>
          <w:numId w:val="1"/>
        </w:numPr>
        <w:ind w:left="1440"/>
      </w:pPr>
      <w:r>
        <w:t>The [city/town/county/parish] will commit to a high degree of accountability and transparency in the use of ARP funds, and will provide regular and accessible information to the community regarding the allocation of ARP funds to various uses.</w:t>
      </w:r>
    </w:p>
    <w:p w14:paraId="59C36C9E" w14:textId="61CD57AE" w:rsidR="00EF5239" w:rsidRDefault="00EF5239" w:rsidP="00EF5239">
      <w:pPr>
        <w:pStyle w:val="ListParagraph"/>
        <w:numPr>
          <w:ilvl w:val="0"/>
          <w:numId w:val="1"/>
        </w:numPr>
        <w:ind w:left="1440"/>
      </w:pPr>
      <w:r>
        <w:t>The [city/town/county/parish] will commit to measuring outcomes and results from the use of ARP funds, and will provide this information to the community proactively, using accessible platforms and communication tools.</w:t>
      </w:r>
    </w:p>
    <w:p w14:paraId="392AD5AC" w14:textId="77777777" w:rsidR="00EF5239" w:rsidRDefault="00EF5239" w:rsidP="00EF5239">
      <w:pPr>
        <w:ind w:left="720"/>
      </w:pPr>
    </w:p>
    <w:p w14:paraId="3B53ED05" w14:textId="77777777" w:rsidR="00EF5239" w:rsidRDefault="00EF5239" w:rsidP="00EF5239">
      <w:pPr>
        <w:ind w:left="720"/>
      </w:pPr>
      <w:r>
        <w:t>This resolution having obtained the votes necessary for passage is hereby adopted.</w:t>
      </w:r>
    </w:p>
    <w:p w14:paraId="1DB8A1E0" w14:textId="77777777" w:rsidR="00EF5239" w:rsidRDefault="00EF5239" w:rsidP="00EF5239">
      <w:pPr>
        <w:ind w:left="720"/>
      </w:pPr>
    </w:p>
    <w:p w14:paraId="4F26C5AC" w14:textId="77777777" w:rsidR="00EF5239" w:rsidRDefault="00EF5239" w:rsidP="00EF5239">
      <w:pPr>
        <w:ind w:left="720"/>
      </w:pPr>
      <w:r>
        <w:t>This ____ day of _____, 2021.</w:t>
      </w:r>
    </w:p>
    <w:p w14:paraId="1D7A3346" w14:textId="77777777" w:rsidR="00EF5239" w:rsidRDefault="00EF5239" w:rsidP="00EF5239">
      <w:pPr>
        <w:ind w:left="720"/>
      </w:pPr>
    </w:p>
    <w:p w14:paraId="740DCB75" w14:textId="77777777" w:rsidR="00EF5239" w:rsidRDefault="00EF5239" w:rsidP="00EF5239">
      <w:pPr>
        <w:ind w:left="720"/>
      </w:pPr>
      <w:r>
        <w:t>Attest:</w:t>
      </w:r>
    </w:p>
    <w:p w14:paraId="41422F91" w14:textId="47C41AF2" w:rsidR="00EF5239" w:rsidRDefault="00EF5239" w:rsidP="00EF5239">
      <w:pPr>
        <w:ind w:left="720"/>
      </w:pPr>
      <w:r>
        <w:t>On behalf of the [city/town/county/parish] of _______________, _________________.</w:t>
      </w:r>
    </w:p>
    <w:p w14:paraId="2327B7ED" w14:textId="77777777" w:rsidR="00EF5239" w:rsidRDefault="00EF5239" w:rsidP="00EF5239">
      <w:pPr>
        <w:ind w:left="720"/>
      </w:pPr>
    </w:p>
    <w:p w14:paraId="45C7C84D" w14:textId="77777777" w:rsidR="00EF5239" w:rsidRDefault="00EF5239" w:rsidP="00EF5239">
      <w:pPr>
        <w:ind w:left="720"/>
      </w:pPr>
      <w:r>
        <w:t>_________________________________________</w:t>
      </w:r>
    </w:p>
    <w:p w14:paraId="5FECE24B" w14:textId="07AD6786" w:rsidR="00EF5239" w:rsidRDefault="00EF5239" w:rsidP="00EF5239">
      <w:pPr>
        <w:ind w:left="720"/>
      </w:pPr>
      <w:r>
        <w:t>Official authorized to attest to the passage of said resolution on said date.</w:t>
      </w:r>
    </w:p>
    <w:sectPr w:rsidR="00EF5239" w:rsidSect="00761531">
      <w:headerReference w:type="default" r:id="rId7"/>
      <w:footerReference w:type="default" r:id="rId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5984" w14:textId="77777777" w:rsidR="00EF5239" w:rsidRDefault="00EF5239" w:rsidP="00EF5239">
      <w:r>
        <w:separator/>
      </w:r>
    </w:p>
  </w:endnote>
  <w:endnote w:type="continuationSeparator" w:id="0">
    <w:p w14:paraId="7B752885" w14:textId="77777777" w:rsidR="00EF5239" w:rsidRDefault="00EF5239" w:rsidP="00EF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2E72" w14:textId="4D7200EA" w:rsidR="00EF5239" w:rsidRDefault="00EF5239">
    <w:pPr>
      <w:pStyle w:val="Footer"/>
    </w:pPr>
    <w:r>
      <w:rPr>
        <w:noProof/>
      </w:rPr>
      <mc:AlternateContent>
        <mc:Choice Requires="wps">
          <w:drawing>
            <wp:anchor distT="0" distB="0" distL="114300" distR="114300" simplePos="0" relativeHeight="251661312" behindDoc="1" locked="0" layoutInCell="1" allowOverlap="1" wp14:anchorId="3E412E38" wp14:editId="5ED558F1">
              <wp:simplePos x="0" y="0"/>
              <wp:positionH relativeFrom="column">
                <wp:posOffset>-1194146</wp:posOffset>
              </wp:positionH>
              <wp:positionV relativeFrom="paragraph">
                <wp:posOffset>-184785</wp:posOffset>
              </wp:positionV>
              <wp:extent cx="8362604" cy="1625946"/>
              <wp:effectExtent l="0" t="0" r="19685" b="12700"/>
              <wp:wrapNone/>
              <wp:docPr id="4" name="Rectangle 4"/>
              <wp:cNvGraphicFramePr/>
              <a:graphic xmlns:a="http://schemas.openxmlformats.org/drawingml/2006/main">
                <a:graphicData uri="http://schemas.microsoft.com/office/word/2010/wordprocessingShape">
                  <wps:wsp>
                    <wps:cNvSpPr/>
                    <wps:spPr>
                      <a:xfrm>
                        <a:off x="0" y="0"/>
                        <a:ext cx="8362604" cy="1625946"/>
                      </a:xfrm>
                      <a:prstGeom prst="rect">
                        <a:avLst/>
                      </a:prstGeom>
                      <a:solidFill>
                        <a:srgbClr val="07585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88FB0A" id="Rectangle 4" o:spid="_x0000_s1026" style="position:absolute;margin-left:-94.05pt;margin-top:-14.55pt;width:658.45pt;height:128.0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" fillcolor="#07585b" strokecolor="#1f376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4C5E" w14:textId="77777777" w:rsidR="00EF5239" w:rsidRDefault="00EF5239" w:rsidP="00EF5239">
      <w:r>
        <w:separator/>
      </w:r>
    </w:p>
  </w:footnote>
  <w:footnote w:type="continuationSeparator" w:id="0">
    <w:p w14:paraId="1A687CDA" w14:textId="77777777" w:rsidR="00EF5239" w:rsidRDefault="00EF5239" w:rsidP="00EF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6B47" w14:textId="17FFDA9A" w:rsidR="002E2F28" w:rsidRDefault="00EF5239" w:rsidP="00EF5239">
    <w:pPr>
      <w:pStyle w:val="Header"/>
      <w:jc w:val="center"/>
    </w:pPr>
    <w:r>
      <w:rPr>
        <w:noProof/>
      </w:rPr>
      <mc:AlternateContent>
        <mc:Choice Requires="wps">
          <w:drawing>
            <wp:anchor distT="0" distB="0" distL="114300" distR="114300" simplePos="0" relativeHeight="251659264" behindDoc="1" locked="0" layoutInCell="1" allowOverlap="1" wp14:anchorId="2C49D109" wp14:editId="737BC7BE">
              <wp:simplePos x="0" y="0"/>
              <wp:positionH relativeFrom="column">
                <wp:posOffset>-931026</wp:posOffset>
              </wp:positionH>
              <wp:positionV relativeFrom="paragraph">
                <wp:posOffset>-606079</wp:posOffset>
              </wp:positionV>
              <wp:extent cx="8362604" cy="1625946"/>
              <wp:effectExtent l="0" t="0" r="19685" b="12700"/>
              <wp:wrapNone/>
              <wp:docPr id="2" name="Rectangle 2"/>
              <wp:cNvGraphicFramePr/>
              <a:graphic xmlns:a="http://schemas.openxmlformats.org/drawingml/2006/main">
                <a:graphicData uri="http://schemas.microsoft.com/office/word/2010/wordprocessingShape">
                  <wps:wsp>
                    <wps:cNvSpPr/>
                    <wps:spPr>
                      <a:xfrm>
                        <a:off x="0" y="0"/>
                        <a:ext cx="8362604" cy="1625946"/>
                      </a:xfrm>
                      <a:prstGeom prst="rect">
                        <a:avLst/>
                      </a:prstGeom>
                      <a:solidFill>
                        <a:srgbClr val="07585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A4CA4F" id="Rectangle 2" o:spid="_x0000_s1026" style="position:absolute;margin-left:-73.3pt;margin-top:-47.7pt;width:658.45pt;height:128.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" fillcolor="#07585b" strokecolor="#1f3763 [1604]" strokeweight="1pt"/>
          </w:pict>
        </mc:Fallback>
      </mc:AlternateContent>
    </w:r>
    <w:r>
      <w:rPr>
        <w:noProof/>
      </w:rPr>
      <w:drawing>
        <wp:inline distT="0" distB="0" distL="0" distR="0" wp14:anchorId="6A6F05DA" wp14:editId="49872F40">
          <wp:extent cx="1330036" cy="1027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30036" cy="10274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F400F"/>
    <w:multiLevelType w:val="hybridMultilevel"/>
    <w:tmpl w:val="7FE63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39"/>
    <w:rsid w:val="002A69E3"/>
    <w:rsid w:val="00707F82"/>
    <w:rsid w:val="00E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BFF50"/>
  <w15:chartTrackingRefBased/>
  <w15:docId w15:val="{A288F403-F513-4B94-99E9-2CEE5548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23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239"/>
    <w:pPr>
      <w:ind w:left="720"/>
      <w:contextualSpacing/>
    </w:pPr>
  </w:style>
  <w:style w:type="paragraph" w:styleId="Header">
    <w:name w:val="header"/>
    <w:basedOn w:val="Normal"/>
    <w:link w:val="HeaderChar"/>
    <w:uiPriority w:val="99"/>
    <w:unhideWhenUsed/>
    <w:rsid w:val="00EF5239"/>
    <w:pPr>
      <w:tabs>
        <w:tab w:val="center" w:pos="4680"/>
        <w:tab w:val="right" w:pos="9360"/>
      </w:tabs>
    </w:pPr>
  </w:style>
  <w:style w:type="character" w:customStyle="1" w:styleId="HeaderChar">
    <w:name w:val="Header Char"/>
    <w:basedOn w:val="DefaultParagraphFont"/>
    <w:link w:val="Header"/>
    <w:uiPriority w:val="99"/>
    <w:rsid w:val="00EF5239"/>
    <w:rPr>
      <w:sz w:val="24"/>
      <w:szCs w:val="24"/>
    </w:rPr>
  </w:style>
  <w:style w:type="paragraph" w:styleId="Footer">
    <w:name w:val="footer"/>
    <w:basedOn w:val="Normal"/>
    <w:link w:val="FooterChar"/>
    <w:uiPriority w:val="99"/>
    <w:unhideWhenUsed/>
    <w:rsid w:val="00EF5239"/>
    <w:pPr>
      <w:tabs>
        <w:tab w:val="center" w:pos="4680"/>
        <w:tab w:val="right" w:pos="9360"/>
      </w:tabs>
    </w:pPr>
  </w:style>
  <w:style w:type="character" w:customStyle="1" w:styleId="FooterChar">
    <w:name w:val="Footer Char"/>
    <w:basedOn w:val="DefaultParagraphFont"/>
    <w:link w:val="Footer"/>
    <w:uiPriority w:val="99"/>
    <w:rsid w:val="00EF52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Frededreia</dc:creator>
  <cp:keywords/>
  <dc:description/>
  <cp:lastModifiedBy>Frededreia</cp:lastModifiedBy>
  <cp:revision>1</cp:revision>
  <dcterms:created xsi:type="dcterms:W3CDTF">2021-06-04T13:01:00Z</dcterms:created>
  <dcterms:modified xsi:type="dcterms:W3CDTF">2021-06-04T13:07:00Z</dcterms:modified>
</cp:coreProperties>
</file>